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60"/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514600" cy="25146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ovatdm-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14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80" w:after="100"/>
        <w:jc w:val="center"/>
      </w:pPr>
      <w:r>
        <w:rPr>
          <w:rFonts w:ascii="Calibri" w:hAnsi="Calibri"/>
          <w:b/>
          <w:color w:val="13233A"/>
          <w:sz w:val="54"/>
        </w:rPr>
        <w:t>PRODUCT EXPLORER</w:t>
      </w:r>
    </w:p>
    <w:p>
      <w:pPr>
        <w:spacing w:after="440"/>
        <w:jc w:val="center"/>
      </w:pPr>
      <w:r>
        <w:rPr>
          <w:rFonts w:ascii="Calibri" w:hAnsi="Calibri"/>
          <w:color w:val="667085"/>
          <w:sz w:val="30"/>
        </w:rPr>
        <w:t>Gestión segura de datos de prueba mediante</w:t>
        <w:br/>
        <w:t>descubrimiento y de-identificación</w:t>
      </w:r>
    </w:p>
    <w:p>
      <w:pPr>
        <w:ind w:left="1944" w:right="1944"/>
        <w:jc w:val="center"/>
        <w:pBdr>
          <w:top w:val="single" w:sz="18" w:space="1" w:color="1F8A70"/>
        </w:pBdr>
      </w:pPr>
    </w:p>
    <w:p>
      <w:pPr>
        <w:spacing w:before="320" w:after="80"/>
        <w:jc w:val="center"/>
      </w:pPr>
      <w:r>
        <w:rPr>
          <w:b/>
          <w:color w:val="1F8A70"/>
          <w:sz w:val="18"/>
        </w:rPr>
        <w:t>CLOUDATA  |  JULIO 2026</w:t>
      </w:r>
    </w:p>
    <w:p>
      <w:pPr>
        <w:jc w:val="center"/>
      </w:pPr>
      <w:hyperlink r:id="rId12">
        <w:r>
          <w:rPr>
            <w:color w:val="0B67D1"/>
            <w:u w:val="single"/>
          </w:rPr>
          <w:t>tdm.cloudata.pe</w:t>
        </w:r>
      </w:hyperlink>
    </w:p>
    <w:p>
      <w:r>
        <w:br w:type="page"/>
      </w:r>
    </w:p>
    <w:p>
      <w:pPr>
        <w:spacing w:after="100"/>
      </w:pPr>
      <w:r>
        <w:rPr>
          <w:b/>
          <w:color w:val="1F8A70"/>
          <w:sz w:val="17"/>
        </w:rPr>
        <w:t>01  |  DOVATDM</w:t>
      </w:r>
    </w:p>
    <w:p>
      <w:pPr>
        <w:pStyle w:val="Title"/>
        <w:pBdr>
          <w:bottom w:val="single" w:sz="14" w:space="1" w:color="0B67D1"/>
        </w:pBdr>
      </w:pPr>
      <w:r>
        <w:t>Producto en una mirada</w:t>
      </w:r>
    </w:p>
    <w:p>
      <w:pPr>
        <w:spacing w:after="280"/>
      </w:pPr>
      <w:r>
        <w:rPr>
          <w:color w:val="667085"/>
          <w:sz w:val="23"/>
        </w:rPr>
        <w:t>DovaTDM transforma archivos reales en datos de prueba utilizables, trazables y con menor exposición de información sensible.</w:t>
      </w:r>
    </w:p>
    <w:p>
      <w:pPr>
        <w:pStyle w:val="Heading2"/>
      </w:pPr>
      <w:r>
        <w:t>Propósito</w:t>
      </w:r>
    </w:p>
    <w:p>
      <w:r>
        <w:t>DovaTDM es una aplicación web de Test Data Management para equipos que necesitan validar software, integraciones y analítica sin distribuir copias directas de datos productivos. Detecta campos sensibles, aplica políticas repetibles y entrega un archivo de-identificado junto con su reporte de ejecución.</w:t>
      </w:r>
    </w:p>
    <w:p>
      <w:pPr>
        <w:spacing w:before="100" w:after="200"/>
        <w:ind w:left="173" w:right="173"/>
        <w:shd w:fill="EAF3FC"/>
        <w:pBdr>
          <w:left w:val="single" w:sz="18" w:space="1" w:color="1F8A70"/>
        </w:pBdr>
      </w:pPr>
      <w:r>
        <w:rPr>
          <w:b/>
          <w:color w:val="1F8A70"/>
        </w:rPr>
        <w:t xml:space="preserve">PRINCIPIO  </w:t>
      </w:r>
      <w:r>
        <w:rPr>
          <w:color w:val="13233A"/>
        </w:rPr>
        <w:t>El archivo fuente se procesa en memoria. La aplicación no lo persiste en el sistema de archivos; almacena en PostgreSQL el resultado de-identificado, el trabajo y el reporte como documentos cifrados.</w:t>
      </w:r>
    </w:p>
    <w:p>
      <w:pPr>
        <w:pStyle w:val="Heading2"/>
      </w:pPr>
      <w:r>
        <w:t>Capacidades actuales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shd w:fill="13233A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Capacidad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shd w:fill="13233A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Cobertura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Formatos</w:t>
            </w:r>
          </w:p>
        </w:tc>
        <w:tc>
          <w:tcPr>
            <w:tcW w:type="dxa" w:w="666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CSV, JSON, TXT, XML y LOG en UTF-8</w:t>
            </w:r>
          </w:p>
        </w:tc>
      </w:tr>
      <w:tr>
        <w:trPr>
          <w:cantSplit/>
        </w:trPr>
        <w:tc>
          <w:tcPr>
            <w:tcW w:type="dxa" w:w="270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Carga</w:t>
            </w:r>
          </w:p>
        </w:tc>
        <w:tc>
          <w:tcPr>
            <w:tcW w:type="dxa" w:w="666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Un archivo por trabajo, hasta 15 MB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Detección</w:t>
            </w:r>
          </w:p>
        </w:tc>
        <w:tc>
          <w:tcPr>
            <w:tcW w:type="dxa" w:w="666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Nombres de campo, patrones, validaciones y algoritmo de Luhn</w:t>
            </w:r>
          </w:p>
        </w:tc>
      </w:tr>
      <w:tr>
        <w:trPr>
          <w:cantSplit/>
        </w:trPr>
        <w:tc>
          <w:tcPr>
            <w:tcW w:type="dxa" w:w="270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Transformación</w:t>
            </w:r>
          </w:p>
        </w:tc>
        <w:tc>
          <w:tcPr>
            <w:tcW w:type="dxa" w:w="666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Masking, redacción, tokenización, seudonimización y desplazamiento de fechas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Persistencia</w:t>
            </w:r>
          </w:p>
        </w:tc>
        <w:tc>
          <w:tcPr>
            <w:tcW w:type="dxa" w:w="666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PostgreSQL con cifrado pgcrypto y campos planos nulos</w:t>
            </w:r>
          </w:p>
        </w:tc>
      </w:tr>
      <w:tr>
        <w:trPr>
          <w:cantSplit/>
        </w:trPr>
        <w:tc>
          <w:tcPr>
            <w:tcW w:type="dxa" w:w="270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Trazabilidad</w:t>
            </w:r>
          </w:p>
        </w:tc>
        <w:tc>
          <w:tcPr>
            <w:tcW w:type="dxa" w:w="666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Reporte y auditoría sin exponer valores sensibles originales</w:t>
            </w:r>
          </w:p>
        </w:tc>
      </w:tr>
    </w:tbl>
    <w:p>
      <w:pPr>
        <w:pStyle w:val="Heading2"/>
      </w:pPr>
      <w:r>
        <w:t>Resultado para el negocio</w:t>
      </w:r>
    </w:p>
    <w:p>
      <w:pPr>
        <w:pStyle w:val="ListBullet"/>
      </w:pPr>
      <w:r>
        <w:t>Menor propagación de datos productivos hacia QA, UAT y desarrollo.</w:t>
      </w:r>
    </w:p>
    <w:p>
      <w:pPr>
        <w:pStyle w:val="ListBullet"/>
      </w:pPr>
      <w:r>
        <w:t>Datos consistentes entre ejecuciones para pruebas repetibles.</w:t>
      </w:r>
    </w:p>
    <w:p>
      <w:pPr>
        <w:pStyle w:val="ListBullet"/>
      </w:pPr>
      <w:r>
        <w:t>Evidencia centralizada de la política aplicada y del resultado generado.</w:t>
      </w:r>
    </w:p>
    <w:p>
      <w:r>
        <w:br w:type="page"/>
      </w:r>
    </w:p>
    <w:p>
      <w:pPr>
        <w:spacing w:after="100"/>
      </w:pPr>
      <w:r>
        <w:rPr>
          <w:b/>
          <w:color w:val="1F8A70"/>
          <w:sz w:val="17"/>
        </w:rPr>
        <w:t>02  |  DOVATDM</w:t>
      </w:r>
    </w:p>
    <w:p>
      <w:pPr>
        <w:pStyle w:val="Title"/>
        <w:pBdr>
          <w:bottom w:val="single" w:sz="14" w:space="1" w:color="0B67D1"/>
        </w:pBdr>
      </w:pPr>
      <w:r>
        <w:t>Flujo de de-identificación</w:t>
      </w:r>
    </w:p>
    <w:p>
      <w:pPr>
        <w:spacing w:after="280"/>
      </w:pPr>
      <w:r>
        <w:rPr>
          <w:color w:val="667085"/>
          <w:sz w:val="23"/>
        </w:rPr>
        <w:t>Un proceso guiado, determinista y auditable desde la recepción hasta la descarga.</w:t>
      </w:r>
    </w:p>
    <w:p>
      <w:pPr>
        <w:spacing w:after="80" w:line="300" w:lineRule="auto"/>
        <w:numPr>
          <w:ilvl w:val="0"/>
          <w:numId w:val="10"/>
        </w:numPr>
      </w:pPr>
      <w:r>
        <w:rPr>
          <w:b/>
        </w:rPr>
        <w:t xml:space="preserve">Intake. </w:t>
      </w:r>
      <w:r>
        <w:t>El operador selecciona un archivo compatible. DovaTDM valida formato, tamaño, codificación y contenido antes de procesarlo.</w:t>
      </w:r>
    </w:p>
    <w:p>
      <w:pPr>
        <w:spacing w:after="80" w:line="300" w:lineRule="auto"/>
        <w:numPr>
          <w:ilvl w:val="0"/>
          <w:numId w:val="10"/>
        </w:numPr>
      </w:pPr>
      <w:r>
        <w:rPr>
          <w:b/>
        </w:rPr>
        <w:t xml:space="preserve">Discovery. </w:t>
      </w:r>
      <w:r>
        <w:t>El motor perfila columnas y valores para identificar categorías sensibles mediante nombres, patrones y controles especializados.</w:t>
      </w:r>
    </w:p>
    <w:p>
      <w:pPr>
        <w:spacing w:after="80" w:line="300" w:lineRule="auto"/>
        <w:numPr>
          <w:ilvl w:val="0"/>
          <w:numId w:val="10"/>
        </w:numPr>
      </w:pPr>
      <w:r>
        <w:rPr>
          <w:b/>
        </w:rPr>
        <w:t xml:space="preserve">Policy. </w:t>
      </w:r>
      <w:r>
        <w:t>El usuario elige una política que define la acción por categoría: enmascarar, redactar, tokenizar, seudonimizar o desplazar fechas.</w:t>
      </w:r>
    </w:p>
    <w:p>
      <w:pPr>
        <w:spacing w:after="80" w:line="300" w:lineRule="auto"/>
        <w:numPr>
          <w:ilvl w:val="0"/>
          <w:numId w:val="10"/>
        </w:numPr>
      </w:pPr>
      <w:r>
        <w:rPr>
          <w:b/>
        </w:rPr>
        <w:t xml:space="preserve">Transform. </w:t>
      </w:r>
      <w:r>
        <w:t>Las reglas se ejecutan en memoria. Las transformaciones deterministas conservan coherencia cuando el escenario de prueba lo requiere.</w:t>
      </w:r>
    </w:p>
    <w:p>
      <w:pPr>
        <w:spacing w:after="80" w:line="300" w:lineRule="auto"/>
        <w:numPr>
          <w:ilvl w:val="0"/>
          <w:numId w:val="10"/>
        </w:numPr>
      </w:pPr>
      <w:r>
        <w:rPr>
          <w:b/>
        </w:rPr>
        <w:t xml:space="preserve">Protect. </w:t>
      </w:r>
      <w:r>
        <w:t>El resultado, el reporte y el trabajo se guardan cifrados en PostgreSQL. El archivo fuente no se escribe en disco por la aplicación.</w:t>
      </w:r>
    </w:p>
    <w:p>
      <w:pPr>
        <w:spacing w:after="80" w:line="300" w:lineRule="auto"/>
        <w:numPr>
          <w:ilvl w:val="0"/>
          <w:numId w:val="10"/>
        </w:numPr>
      </w:pPr>
      <w:r>
        <w:rPr>
          <w:b/>
        </w:rPr>
        <w:t xml:space="preserve">Deliver. </w:t>
      </w:r>
      <w:r>
        <w:t>El operador descarga el archivo de-identificado y revisa el reporte en Audit sin visualizar valores sensibles originales.</w:t>
      </w:r>
    </w:p>
    <w:p>
      <w:pPr>
        <w:pStyle w:val="Heading2"/>
      </w:pPr>
      <w:r>
        <w:t>Categorías detectables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tblHeader w:val="true"/>
          <w:cantSplit/>
        </w:trP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3233A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Identificadores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3233A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Datos operativos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3233A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Contenido no estructurado</w:t>
            </w:r>
          </w:p>
        </w:tc>
      </w:tr>
      <w:tr>
        <w:trPr>
          <w:cantSplit/>
        </w:trPr>
        <w:tc>
          <w:tcPr>
            <w:tcW w:type="dxa" w:w="312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Email, teléfono, documento nacional y nombre</w:t>
            </w:r>
          </w:p>
        </w:tc>
        <w:tc>
          <w:tcPr>
            <w:tcW w:type="dxa" w:w="312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Tarjeta, cuenta, dirección, fecha e IP</w:t>
            </w:r>
          </w:p>
        </w:tc>
        <w:tc>
          <w:tcPr>
            <w:tcW w:type="dxa" w:w="312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Texto libre con redacción por expresiones regulares</w:t>
            </w:r>
          </w:p>
        </w:tc>
      </w:tr>
    </w:tbl>
    <w:p>
      <w:pPr>
        <w:pStyle w:val="Heading2"/>
      </w:pPr>
      <w:r>
        <w:t>Controles de entrada</w:t>
      </w:r>
    </w:p>
    <w:p>
      <w:pPr>
        <w:pStyle w:val="ListBullet"/>
      </w:pPr>
      <w:r>
        <w:t>Rechazo de contenido binario y archivos que no sean UTF-8.</w:t>
      </w:r>
    </w:p>
    <w:p>
      <w:pPr>
        <w:pStyle w:val="ListBullet"/>
      </w:pPr>
      <w:r>
        <w:t>Límite de 15 MB y validación previa al trabajo.</w:t>
      </w:r>
    </w:p>
    <w:p>
      <w:pPr>
        <w:pStyle w:val="ListBullet"/>
      </w:pPr>
      <w:r>
        <w:t>Neutralización de fórmulas peligrosas al producir archivos CSV.</w:t>
      </w:r>
    </w:p>
    <w:p>
      <w:pPr>
        <w:spacing w:before="100" w:after="200"/>
        <w:ind w:left="173" w:right="173"/>
        <w:shd w:fill="F2F7F4"/>
        <w:pBdr>
          <w:left w:val="single" w:sz="18" w:space="1" w:color="1F8A70"/>
        </w:pBdr>
      </w:pPr>
      <w:r>
        <w:rPr>
          <w:b/>
          <w:color w:val="1F8A70"/>
        </w:rPr>
        <w:t xml:space="preserve">IMPORTANTE  </w:t>
      </w:r>
      <w:r>
        <w:rPr>
          <w:color w:val="13233A"/>
        </w:rPr>
        <w:t>La calidad del resultado depende del formato, los encabezados y los patrones presentes. Discovery debe revisarse antes de utilizar el archivo en un entorno de prueba.</w:t>
      </w:r>
    </w:p>
    <w:p>
      <w:r>
        <w:br w:type="page"/>
      </w:r>
    </w:p>
    <w:p>
      <w:pPr>
        <w:spacing w:after="100"/>
      </w:pPr>
      <w:r>
        <w:rPr>
          <w:b/>
          <w:color w:val="1F8A70"/>
          <w:sz w:val="17"/>
        </w:rPr>
        <w:t>03  |  DOVATDM</w:t>
      </w:r>
    </w:p>
    <w:p>
      <w:pPr>
        <w:pStyle w:val="Title"/>
        <w:pBdr>
          <w:bottom w:val="single" w:sz="14" w:space="1" w:color="0B67D1"/>
        </w:pBdr>
      </w:pPr>
      <w:r>
        <w:t>Módulos del producto</w:t>
      </w:r>
    </w:p>
    <w:p>
      <w:pPr>
        <w:spacing w:after="280"/>
      </w:pPr>
      <w:r>
        <w:rPr>
          <w:color w:val="667085"/>
          <w:sz w:val="23"/>
        </w:rPr>
        <w:t>Cada módulo representa una etapa concreta del ciclo de gestión de datos de prueba.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4760"/>
        <w:gridCol w:w="3100"/>
      </w:tblGrid>
      <w:tr>
        <w:trPr>
          <w:tblHeader w:val="true"/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3233A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Módulo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  <w:shd w:fill="13233A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Función principal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shd w:fill="13233A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Salida</w:t>
            </w:r>
          </w:p>
        </w:tc>
      </w:tr>
      <w:tr>
        <w:trPr>
          <w:cantSplit/>
        </w:trPr>
        <w:tc>
          <w:tcPr>
            <w:tcW w:type="dxa" w:w="150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Intake</w:t>
            </w:r>
          </w:p>
        </w:tc>
        <w:tc>
          <w:tcPr>
            <w:tcW w:type="dxa" w:w="476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Carga controlada y validación inicial del archivo.</w:t>
            </w:r>
          </w:p>
        </w:tc>
        <w:tc>
          <w:tcPr>
            <w:tcW w:type="dxa" w:w="310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Archivo aceptado para análisis</w:t>
            </w:r>
          </w:p>
        </w:tc>
      </w:tr>
      <w:tr>
        <w:trPr>
          <w:cantSplit/>
        </w:trPr>
        <w:tc>
          <w:tcPr>
            <w:tcW w:type="dxa" w:w="150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Discovery</w:t>
            </w:r>
          </w:p>
        </w:tc>
        <w:tc>
          <w:tcPr>
            <w:tcW w:type="dxa" w:w="476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Perfilado y detección de categorías sensibles.</w:t>
            </w:r>
          </w:p>
        </w:tc>
        <w:tc>
          <w:tcPr>
            <w:tcW w:type="dxa" w:w="310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Hallazgos por campo y categoría</w:t>
            </w:r>
          </w:p>
        </w:tc>
      </w:tr>
      <w:tr>
        <w:trPr>
          <w:cantSplit/>
        </w:trPr>
        <w:tc>
          <w:tcPr>
            <w:tcW w:type="dxa" w:w="150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Policies</w:t>
            </w:r>
          </w:p>
        </w:tc>
        <w:tc>
          <w:tcPr>
            <w:tcW w:type="dxa" w:w="476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Selección de reglas de protección según el uso previsto.</w:t>
            </w:r>
          </w:p>
        </w:tc>
        <w:tc>
          <w:tcPr>
            <w:tcW w:type="dxa" w:w="310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Política versionada para la ejecución</w:t>
            </w:r>
          </w:p>
        </w:tc>
      </w:tr>
      <w:tr>
        <w:trPr>
          <w:cantSplit/>
        </w:trPr>
        <w:tc>
          <w:tcPr>
            <w:tcW w:type="dxa" w:w="150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Masking</w:t>
            </w:r>
          </w:p>
        </w:tc>
        <w:tc>
          <w:tcPr>
            <w:tcW w:type="dxa" w:w="476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Aplicación de transformaciones y generación del resultado.</w:t>
            </w:r>
          </w:p>
        </w:tc>
        <w:tc>
          <w:tcPr>
            <w:tcW w:type="dxa" w:w="310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Archivo de-identificado</w:t>
            </w:r>
          </w:p>
        </w:tc>
      </w:tr>
      <w:tr>
        <w:trPr>
          <w:cantSplit/>
        </w:trPr>
        <w:tc>
          <w:tcPr>
            <w:tcW w:type="dxa" w:w="150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Audit</w:t>
            </w:r>
          </w:p>
        </w:tc>
        <w:tc>
          <w:tcPr>
            <w:tcW w:type="dxa" w:w="476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Consulta del trabajo y reporte sin valores sensibles originales.</w:t>
            </w:r>
          </w:p>
        </w:tc>
        <w:tc>
          <w:tcPr>
            <w:tcW w:type="dxa" w:w="310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Evidencia operativa y descarga</w:t>
            </w:r>
          </w:p>
        </w:tc>
      </w:tr>
      <w:tr>
        <w:trPr>
          <w:cantSplit/>
        </w:trPr>
        <w:tc>
          <w:tcPr>
            <w:tcW w:type="dxa" w:w="150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Configuration</w:t>
            </w:r>
          </w:p>
        </w:tc>
        <w:tc>
          <w:tcPr>
            <w:tcW w:type="dxa" w:w="476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Visibilidad del estado de infraestructura requerida y opcional.</w:t>
            </w:r>
          </w:p>
        </w:tc>
        <w:tc>
          <w:tcPr>
            <w:tcW w:type="dxa" w:w="310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Estado técnico del servicio</w:t>
            </w:r>
          </w:p>
        </w:tc>
      </w:tr>
    </w:tbl>
    <w:p>
      <w:pPr>
        <w:pStyle w:val="Heading2"/>
      </w:pPr>
      <w:r>
        <w:t>Acceso por responsabilidad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shd w:fill="13233A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Perfil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shd w:fill="13233A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Acceso esperado</w:t>
            </w:r>
          </w:p>
        </w:tc>
      </w:tr>
      <w:tr>
        <w:trPr>
          <w:cantSplit/>
        </w:trPr>
        <w:tc>
          <w:tcPr>
            <w:tcW w:type="dxa" w:w="220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Administrador</w:t>
            </w:r>
          </w:p>
        </w:tc>
        <w:tc>
          <w:tcPr>
            <w:tcW w:type="dxa" w:w="716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Acceso integral y administración de usuarios.</w:t>
            </w:r>
          </w:p>
        </w:tc>
      </w:tr>
      <w:tr>
        <w:trPr>
          <w:cantSplit/>
        </w:trPr>
        <w:tc>
          <w:tcPr>
            <w:tcW w:type="dxa" w:w="220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Operador</w:t>
            </w:r>
          </w:p>
        </w:tc>
        <w:tc>
          <w:tcPr>
            <w:tcW w:type="dxa" w:w="716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Intake, Discovery, Masking y Audit para ejecutar el proceso.</w:t>
            </w:r>
          </w:p>
        </w:tc>
      </w:tr>
    </w:tbl>
    <w:p>
      <w:pPr>
        <w:spacing w:before="100" w:after="200"/>
        <w:ind w:left="173" w:right="173"/>
        <w:shd w:fill="EAF3FC"/>
        <w:pBdr>
          <w:left w:val="single" w:sz="18" w:space="1" w:color="1F8A70"/>
        </w:pBdr>
      </w:pPr>
      <w:r>
        <w:rPr>
          <w:b/>
          <w:color w:val="1F8A70"/>
        </w:rPr>
        <w:t xml:space="preserve">DISEÑO OPERATIVO  </w:t>
      </w:r>
      <w:r>
        <w:rPr>
          <w:color w:val="13233A"/>
        </w:rPr>
        <w:t>La separación por módulos permite revisar la detección y la política antes de generar un resultado, reduciendo ejecuciones accidentales con una configuración incorrecta.</w:t>
      </w:r>
    </w:p>
    <w:p>
      <w:pPr>
        <w:pStyle w:val="Heading2"/>
      </w:pPr>
      <w:r>
        <w:t>Entregables por trabajo</w:t>
      </w:r>
    </w:p>
    <w:p>
      <w:pPr>
        <w:pStyle w:val="ListBullet"/>
      </w:pPr>
      <w:r>
        <w:t>Archivo de-identificado listo para su uso controlado.</w:t>
      </w:r>
    </w:p>
    <w:p>
      <w:pPr>
        <w:pStyle w:val="ListBullet"/>
      </w:pPr>
      <w:r>
        <w:t>Reporte con categorías, acciones y conteos de transformación.</w:t>
      </w:r>
    </w:p>
    <w:p>
      <w:pPr>
        <w:pStyle w:val="ListBullet"/>
      </w:pPr>
      <w:r>
        <w:t>Registro de auditoría asociado al usuario y a la ejecución.</w:t>
      </w:r>
    </w:p>
    <w:p>
      <w:r>
        <w:br w:type="page"/>
      </w:r>
    </w:p>
    <w:p>
      <w:pPr>
        <w:spacing w:after="100"/>
      </w:pPr>
      <w:r>
        <w:rPr>
          <w:b/>
          <w:color w:val="1F8A70"/>
          <w:sz w:val="17"/>
        </w:rPr>
        <w:t>04  |  DOVATDM</w:t>
      </w:r>
    </w:p>
    <w:p>
      <w:pPr>
        <w:pStyle w:val="Title"/>
        <w:pBdr>
          <w:bottom w:val="single" w:sz="14" w:space="1" w:color="0B67D1"/>
        </w:pBdr>
      </w:pPr>
      <w:r>
        <w:t>Catálogo de políticas</w:t>
      </w:r>
    </w:p>
    <w:p>
      <w:pPr>
        <w:spacing w:after="280"/>
      </w:pPr>
      <w:r>
        <w:rPr>
          <w:color w:val="667085"/>
          <w:sz w:val="23"/>
        </w:rPr>
        <w:t>Perfiles predefinidos para equilibrar protección, formato y utilidad de prueba.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3800"/>
        <w:gridCol w:w="3360"/>
      </w:tblGrid>
      <w:tr>
        <w:trPr>
          <w:tblHeader w:val="true"/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shd w:fill="13233A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Política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shd w:fill="13233A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Uso recomendado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shd w:fill="13233A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Enfoque</w:t>
            </w:r>
          </w:p>
        </w:tc>
      </w:tr>
      <w:tr>
        <w:trPr>
          <w:cantSplit/>
        </w:trPr>
        <w:tc>
          <w:tcPr>
            <w:tcW w:type="dxa" w:w="220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Safe Harbor Default</w:t>
            </w:r>
          </w:p>
        </w:tc>
        <w:tc>
          <w:tcPr>
            <w:tcW w:type="dxa" w:w="380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Pruebas generales con datos heterogéneos.</w:t>
            </w:r>
          </w:p>
        </w:tc>
        <w:tc>
          <w:tcPr>
            <w:tcW w:type="dxa" w:w="336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Protección determinista y no reversible.</w:t>
            </w:r>
          </w:p>
        </w:tc>
      </w:tr>
      <w:tr>
        <w:trPr>
          <w:cantSplit/>
        </w:trPr>
        <w:tc>
          <w:tcPr>
            <w:tcW w:type="dxa" w:w="220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Strict Redaction</w:t>
            </w:r>
          </w:p>
        </w:tc>
        <w:tc>
          <w:tcPr>
            <w:tcW w:type="dxa" w:w="380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Escenarios donde importa más minimizar exposición que conservar formato.</w:t>
            </w:r>
          </w:p>
        </w:tc>
        <w:tc>
          <w:tcPr>
            <w:tcW w:type="dxa" w:w="336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Redacción amplia de identificadores.</w:t>
            </w:r>
          </w:p>
        </w:tc>
      </w:tr>
      <w:tr>
        <w:trPr>
          <w:cantSplit/>
        </w:trPr>
        <w:tc>
          <w:tcPr>
            <w:tcW w:type="dxa" w:w="220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GDPR Pseudonymization</w:t>
            </w:r>
          </w:p>
        </w:tc>
        <w:tc>
          <w:tcPr>
            <w:tcW w:type="dxa" w:w="380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Pruebas que requieren relaciones estables entre registros.</w:t>
            </w:r>
          </w:p>
        </w:tc>
        <w:tc>
          <w:tcPr>
            <w:tcW w:type="dxa" w:w="336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Seudónimos y tokens deterministas.</w:t>
            </w:r>
          </w:p>
        </w:tc>
      </w:tr>
      <w:tr>
        <w:trPr>
          <w:cantSplit/>
        </w:trPr>
        <w:tc>
          <w:tcPr>
            <w:tcW w:type="dxa" w:w="220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PCI Payment Data</w:t>
            </w:r>
          </w:p>
        </w:tc>
        <w:tc>
          <w:tcPr>
            <w:tcW w:type="dxa" w:w="380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Flujos de pago y validación de integraciones financieras.</w:t>
            </w:r>
          </w:p>
        </w:tc>
        <w:tc>
          <w:tcPr>
            <w:tcW w:type="dxa" w:w="336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Redacción reforzada de tarjetas y cuentas.</w:t>
            </w:r>
          </w:p>
        </w:tc>
      </w:tr>
      <w:tr>
        <w:trPr>
          <w:cantSplit/>
        </w:trPr>
        <w:tc>
          <w:tcPr>
            <w:tcW w:type="dxa" w:w="220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Analytics High Utility</w:t>
            </w:r>
          </w:p>
        </w:tc>
        <w:tc>
          <w:tcPr>
            <w:tcW w:type="dxa" w:w="380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Analítica y tendencias con fechas consistentes.</w:t>
            </w:r>
          </w:p>
        </w:tc>
        <w:tc>
          <w:tcPr>
            <w:tcW w:type="dxa" w:w="336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Seudónimos estables y date shifting.</w:t>
            </w:r>
          </w:p>
        </w:tc>
      </w:tr>
      <w:tr>
        <w:trPr>
          <w:cantSplit/>
        </w:trPr>
        <w:tc>
          <w:tcPr>
            <w:tcW w:type="dxa" w:w="220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QA Format Preserving</w:t>
            </w:r>
          </w:p>
        </w:tc>
        <w:tc>
          <w:tcPr>
            <w:tcW w:type="dxa" w:w="380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Pruebas funcionales repetibles.</w:t>
            </w:r>
          </w:p>
        </w:tc>
        <w:tc>
          <w:tcPr>
            <w:tcW w:type="dxa" w:w="336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Estructura útil y valores estables.</w:t>
            </w:r>
          </w:p>
        </w:tc>
      </w:tr>
      <w:tr>
        <w:trPr>
          <w:cantSplit/>
        </w:trPr>
        <w:tc>
          <w:tcPr>
            <w:tcW w:type="dxa" w:w="220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Irreversible Tokenization</w:t>
            </w:r>
          </w:p>
        </w:tc>
        <w:tc>
          <w:tcPr>
            <w:tcW w:type="dxa" w:w="380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Identificadores y cuentas que no deben reconstruirse.</w:t>
            </w:r>
          </w:p>
        </w:tc>
        <w:tc>
          <w:tcPr>
            <w:tcW w:type="dxa" w:w="336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Tokenización no reversible prioritaria.</w:t>
            </w:r>
          </w:p>
        </w:tc>
      </w:tr>
    </w:tbl>
    <w:p>
      <w:pPr>
        <w:pStyle w:val="Heading2"/>
      </w:pPr>
      <w:r>
        <w:t>Acciones disponibles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shd w:fill="13233A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Acción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shd w:fill="13233A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Comportamiento</w:t>
            </w:r>
          </w:p>
        </w:tc>
      </w:tr>
      <w:tr>
        <w:trPr>
          <w:cantSplit/>
        </w:trPr>
        <w:tc>
          <w:tcPr>
            <w:tcW w:type="dxa" w:w="220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Mask</w:t>
            </w:r>
          </w:p>
        </w:tc>
        <w:tc>
          <w:tcPr>
            <w:tcW w:type="dxa" w:w="716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Oculta parte del valor manteniendo una representación reconocible.</w:t>
            </w:r>
          </w:p>
        </w:tc>
      </w:tr>
      <w:tr>
        <w:trPr>
          <w:cantSplit/>
        </w:trPr>
        <w:tc>
          <w:tcPr>
            <w:tcW w:type="dxa" w:w="220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Redact</w:t>
            </w:r>
          </w:p>
        </w:tc>
        <w:tc>
          <w:tcPr>
            <w:tcW w:type="dxa" w:w="716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Sustituye el contenido detectado por un marcador protegido.</w:t>
            </w:r>
          </w:p>
        </w:tc>
      </w:tr>
      <w:tr>
        <w:trPr>
          <w:cantSplit/>
        </w:trPr>
        <w:tc>
          <w:tcPr>
            <w:tcW w:type="dxa" w:w="220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Tokenize</w:t>
            </w:r>
          </w:p>
        </w:tc>
        <w:tc>
          <w:tcPr>
            <w:tcW w:type="dxa" w:w="716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Genera un token estable sin conservar el valor original.</w:t>
            </w:r>
          </w:p>
        </w:tc>
      </w:tr>
      <w:tr>
        <w:trPr>
          <w:cantSplit/>
        </w:trPr>
        <w:tc>
          <w:tcPr>
            <w:tcW w:type="dxa" w:w="220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Pseudonymize</w:t>
            </w:r>
          </w:p>
        </w:tc>
        <w:tc>
          <w:tcPr>
            <w:tcW w:type="dxa" w:w="716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Crea un sustituto determinista útil para relaciones de prueba.</w:t>
            </w:r>
          </w:p>
        </w:tc>
      </w:tr>
      <w:tr>
        <w:trPr>
          <w:cantSplit/>
        </w:trPr>
        <w:tc>
          <w:tcPr>
            <w:tcW w:type="dxa" w:w="220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Date shift</w:t>
            </w:r>
          </w:p>
        </w:tc>
        <w:tc>
          <w:tcPr>
            <w:tcW w:type="dxa" w:w="716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Desplaza fechas de forma consistente para preservar intervalos.</w:t>
            </w:r>
          </w:p>
        </w:tc>
      </w:tr>
      <w:tr>
        <w:trPr>
          <w:cantSplit/>
        </w:trPr>
        <w:tc>
          <w:tcPr>
            <w:tcW w:type="dxa" w:w="220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Regex redact</w:t>
            </w:r>
          </w:p>
        </w:tc>
        <w:tc>
          <w:tcPr>
            <w:tcW w:type="dxa" w:w="716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Elimina patrones sensibles encontrados dentro de texto libre.</w:t>
            </w:r>
          </w:p>
        </w:tc>
      </w:tr>
    </w:tbl>
    <w:p>
      <w:pPr>
        <w:spacing w:before="100" w:after="200"/>
        <w:ind w:left="173" w:right="173"/>
        <w:shd w:fill="FFF7E8"/>
        <w:pBdr>
          <w:left w:val="single" w:sz="18" w:space="1" w:color="1F8A70"/>
        </w:pBdr>
      </w:pPr>
      <w:r>
        <w:rPr>
          <w:b/>
          <w:color w:val="1F8A70"/>
        </w:rPr>
        <w:t xml:space="preserve">ALCANCE  </w:t>
      </w:r>
      <w:r>
        <w:rPr>
          <w:color w:val="13233A"/>
        </w:rPr>
        <w:t>Los nombres GDPR y PCI describen perfiles técnicos de protección. No constituyen una certificación ni garantizan cumplimiento regulatorio por sí solos.</w:t>
      </w:r>
    </w:p>
    <w:p>
      <w:r>
        <w:br w:type="page"/>
      </w:r>
    </w:p>
    <w:p>
      <w:pPr>
        <w:spacing w:after="100"/>
      </w:pPr>
      <w:r>
        <w:rPr>
          <w:b/>
          <w:color w:val="1F8A70"/>
          <w:sz w:val="17"/>
        </w:rPr>
        <w:t>05  |  DOVATDM</w:t>
      </w:r>
    </w:p>
    <w:p>
      <w:pPr>
        <w:pStyle w:val="Title"/>
        <w:pBdr>
          <w:bottom w:val="single" w:sz="14" w:space="1" w:color="0B67D1"/>
        </w:pBdr>
      </w:pPr>
      <w:r>
        <w:t>Arquitectura y seguridad</w:t>
      </w:r>
    </w:p>
    <w:p>
      <w:pPr>
        <w:spacing w:after="280"/>
      </w:pPr>
      <w:r>
        <w:rPr>
          <w:color w:val="667085"/>
          <w:sz w:val="23"/>
        </w:rPr>
        <w:t>Controles de defensa en profundidad para la aplicación, la base de datos y la operación.</w:t>
      </w:r>
    </w:p>
    <w:p>
      <w:pPr>
        <w:spacing w:before="160" w:after="320"/>
        <w:jc w:val="center"/>
        <w:shd w:fill="EAF3FC"/>
      </w:pPr>
      <w:r>
        <w:rPr>
          <w:b/>
          <w:color w:val="0B67D1"/>
          <w:sz w:val="22"/>
        </w:rPr>
        <w:t>NAVEGADOR  &gt;  NGINX / TLS  &gt;  DovaTDM  &gt;  POSTGRESQL / PGCRYPTO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shd w:fill="13233A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Capa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shd w:fill="13233A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Control implementado</w:t>
            </w:r>
          </w:p>
        </w:tc>
      </w:tr>
      <w:tr>
        <w:trPr>
          <w:cantSplit/>
        </w:trPr>
        <w:tc>
          <w:tcPr>
            <w:tcW w:type="dxa" w:w="220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Perímetro</w:t>
            </w:r>
          </w:p>
        </w:tc>
        <w:tc>
          <w:tcPr>
            <w:tcW w:type="dxa" w:w="716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HTTPS con certificado Let's Encrypt y proxy inverso Nginx.</w:t>
            </w:r>
          </w:p>
        </w:tc>
      </w:tr>
      <w:tr>
        <w:trPr>
          <w:cantSplit/>
        </w:trPr>
        <w:tc>
          <w:tcPr>
            <w:tcW w:type="dxa" w:w="220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Aplicación</w:t>
            </w:r>
          </w:p>
        </w:tc>
        <w:tc>
          <w:tcPr>
            <w:tcW w:type="dxa" w:w="716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Servicio enlazado a 127.0.0.1:8021; no expuesto directamente a Internet.</w:t>
            </w:r>
          </w:p>
        </w:tc>
      </w:tr>
      <w:tr>
        <w:trPr>
          <w:cantSplit/>
        </w:trPr>
        <w:tc>
          <w:tcPr>
            <w:tcW w:type="dxa" w:w="220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Sesión</w:t>
            </w:r>
          </w:p>
        </w:tc>
        <w:tc>
          <w:tcPr>
            <w:tcW w:type="dxa" w:w="716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Cookies Secure, HttpOnly y SameSite; protección CSRF y control de roles.</w:t>
            </w:r>
          </w:p>
        </w:tc>
      </w:tr>
      <w:tr>
        <w:trPr>
          <w:cantSplit/>
        </w:trPr>
        <w:tc>
          <w:tcPr>
            <w:tcW w:type="dxa" w:w="220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Navegador</w:t>
            </w:r>
          </w:p>
        </w:tc>
        <w:tc>
          <w:tcPr>
            <w:tcW w:type="dxa" w:w="716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CSP, protección contra framing y encabezados de seguridad.</w:t>
            </w:r>
          </w:p>
        </w:tc>
      </w:tr>
      <w:tr>
        <w:trPr>
          <w:cantSplit/>
        </w:trPr>
        <w:tc>
          <w:tcPr>
            <w:tcW w:type="dxa" w:w="220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Abuso</w:t>
            </w:r>
          </w:p>
        </w:tc>
        <w:tc>
          <w:tcPr>
            <w:tcW w:type="dxa" w:w="716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Rate limiting y límite de carga de 15 MB.</w:t>
            </w:r>
          </w:p>
        </w:tc>
      </w:tr>
      <w:tr>
        <w:trPr>
          <w:cantSplit/>
        </w:trPr>
        <w:tc>
          <w:tcPr>
            <w:tcW w:type="dxa" w:w="220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Base de datos</w:t>
            </w:r>
          </w:p>
        </w:tc>
        <w:tc>
          <w:tcPr>
            <w:tcW w:type="dxa" w:w="716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PostgreSQL en 127.0.0.1:5432; cifrado pgcrypto y columnas planas nulas.</w:t>
            </w:r>
          </w:p>
        </w:tc>
      </w:tr>
      <w:tr>
        <w:trPr>
          <w:cantSplit/>
        </w:trPr>
        <w:tc>
          <w:tcPr>
            <w:tcW w:type="dxa" w:w="220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Integridad</w:t>
            </w:r>
          </w:p>
        </w:tc>
        <w:tc>
          <w:tcPr>
            <w:tcW w:type="dxa" w:w="716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Digest HMAC del contenido para validación sin almacenar el original.</w:t>
            </w:r>
          </w:p>
        </w:tc>
      </w:tr>
      <w:tr>
        <w:trPr>
          <w:cantSplit/>
        </w:trPr>
        <w:tc>
          <w:tcPr>
            <w:tcW w:type="dxa" w:w="220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Recuperación</w:t>
            </w:r>
          </w:p>
        </w:tc>
        <w:tc>
          <w:tcPr>
            <w:tcW w:type="dxa" w:w="716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Backups diarios cifrados, permisos 0600 y retención de siete días.</w:t>
            </w:r>
          </w:p>
        </w:tc>
      </w:tr>
      <w:tr>
        <w:trPr>
          <w:cantSplit/>
        </w:trPr>
        <w:tc>
          <w:tcPr>
            <w:tcW w:type="dxa" w:w="220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Host</w:t>
            </w:r>
          </w:p>
        </w:tc>
        <w:tc>
          <w:tcPr>
            <w:tcW w:type="dxa" w:w="716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Servicio sin swap y con core dumps deshabilitados para reducir rastros sensibles.</w:t>
            </w:r>
          </w:p>
        </w:tc>
      </w:tr>
    </w:tbl>
    <w:p>
      <w:pPr>
        <w:pStyle w:val="Heading2"/>
      </w:pPr>
      <w:r>
        <w:t>Ciclo de datos</w:t>
      </w:r>
    </w:p>
    <w:p>
      <w:pPr>
        <w:pStyle w:val="ListBullet"/>
      </w:pPr>
      <w:r>
        <w:t>Fuente: transitoria en memoria durante el procesamiento.</w:t>
      </w:r>
    </w:p>
    <w:p>
      <w:pPr>
        <w:pStyle w:val="ListBullet"/>
      </w:pPr>
      <w:r>
        <w:t>Resultado, trabajo y reporte: cifrados en PostgreSQL.</w:t>
      </w:r>
    </w:p>
    <w:p>
      <w:pPr>
        <w:pStyle w:val="ListBullet"/>
      </w:pPr>
      <w:r>
        <w:t>Respaldo: cifrado, acceso restringido y eliminación por retención.</w:t>
      </w:r>
    </w:p>
    <w:p>
      <w:pPr>
        <w:spacing w:before="100" w:after="200"/>
        <w:ind w:left="173" w:right="173"/>
        <w:shd w:fill="F2F7F4"/>
        <w:pBdr>
          <w:left w:val="single" w:sz="18" w:space="1" w:color="1F8A70"/>
        </w:pBdr>
      </w:pPr>
      <w:r>
        <w:rPr>
          <w:b/>
          <w:color w:val="1F8A70"/>
        </w:rPr>
        <w:t xml:space="preserve">ARQUITECTURA ACTUAL  </w:t>
      </w:r>
      <w:r>
        <w:rPr>
          <w:color w:val="13233A"/>
        </w:rPr>
        <w:t>El alcance productivo no requiere Redis, RabbitMQ ni almacenamiento de objetos. Estos componentes permanecen opcionales para evoluciones futuras.</w:t>
      </w:r>
    </w:p>
    <w:p>
      <w:r>
        <w:br w:type="page"/>
      </w:r>
    </w:p>
    <w:p>
      <w:pPr>
        <w:spacing w:after="100"/>
      </w:pPr>
      <w:r>
        <w:rPr>
          <w:b/>
          <w:color w:val="1F8A70"/>
          <w:sz w:val="17"/>
        </w:rPr>
        <w:t>06  |  DOVATDM</w:t>
      </w:r>
    </w:p>
    <w:p>
      <w:pPr>
        <w:pStyle w:val="Title"/>
        <w:pBdr>
          <w:bottom w:val="single" w:sz="14" w:space="1" w:color="0B67D1"/>
        </w:pBdr>
      </w:pPr>
      <w:r>
        <w:t>Casos de uso y alcance</w:t>
      </w:r>
    </w:p>
    <w:p>
      <w:pPr>
        <w:spacing w:after="280"/>
      </w:pPr>
      <w:r>
        <w:rPr>
          <w:color w:val="667085"/>
          <w:sz w:val="23"/>
        </w:rPr>
        <w:t>DovaTDM está orientado a archivos de texto estructurados o semiestructurados dentro de un proceso controlado.</w:t>
      </w:r>
    </w:p>
    <w:p>
      <w:pPr>
        <w:pStyle w:val="Heading2"/>
      </w:pPr>
      <w:r>
        <w:t>Casos de uso prioritarios</w:t>
      </w:r>
    </w:p>
    <w:p>
      <w:pPr>
        <w:pStyle w:val="ListBullet"/>
      </w:pPr>
      <w:r>
        <w:t>Preparar datos para QA y UAT sin distribuir identificadores reales.</w:t>
      </w:r>
    </w:p>
    <w:p>
      <w:pPr>
        <w:pStyle w:val="ListBullet"/>
      </w:pPr>
      <w:r>
        <w:t>Reproducir defectos en desarrollo con relaciones de datos consistentes.</w:t>
      </w:r>
    </w:p>
    <w:p>
      <w:pPr>
        <w:pStyle w:val="ListBullet"/>
      </w:pPr>
      <w:r>
        <w:t>Validar migraciones e integraciones usando conjuntos de prueba protegidos.</w:t>
      </w:r>
    </w:p>
    <w:p>
      <w:pPr>
        <w:pStyle w:val="ListBullet"/>
      </w:pPr>
      <w:r>
        <w:t>Ejecutar analítica de prueba conservando tendencias y desplazando fechas.</w:t>
      </w:r>
    </w:p>
    <w:p>
      <w:pPr>
        <w:pStyle w:val="ListBullet"/>
      </w:pPr>
      <w:r>
        <w:t>Compartir evidencia de soporte sin incluir valores sensibles del cliente.</w:t>
      </w:r>
    </w:p>
    <w:p>
      <w:pPr>
        <w:pStyle w:val="Heading2"/>
      </w:pPr>
      <w:r>
        <w:t>Alcance operativo actual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shd w:fill="13233A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Incluido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shd w:fill="13233A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Fuera del alcance actual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CSV, JSON, TXT, XML y LOG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Excel, PDF y archivos binarios</w:t>
            </w:r>
          </w:p>
        </w:tc>
      </w:tr>
      <w:tr>
        <w:trPr>
          <w:cantSplit/>
        </w:trPr>
        <w:tc>
          <w:tcPr>
            <w:tcW w:type="dxa" w:w="468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Carga web de un archivo por trabajo</w:t>
            </w:r>
          </w:p>
        </w:tc>
        <w:tc>
          <w:tcPr>
            <w:tcW w:type="dxa" w:w="468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Procesamiento batch y planificación automática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Políticas predefinidas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Diseñador visual de reglas personalizadas</w:t>
            </w:r>
          </w:p>
        </w:tc>
      </w:tr>
      <w:tr>
        <w:trPr>
          <w:cantSplit/>
        </w:trPr>
        <w:tc>
          <w:tcPr>
            <w:tcW w:type="dxa" w:w="468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Usuarios y roles locales</w:t>
            </w:r>
          </w:p>
        </w:tc>
        <w:tc>
          <w:tcPr>
            <w:tcW w:type="dxa" w:w="468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SSO empresarial y federación de identidades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PostgreSQL cifrado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Conectores directos a bases de datos externas</w:t>
            </w:r>
          </w:p>
        </w:tc>
      </w:tr>
      <w:tr>
        <w:trPr>
          <w:cantSplit/>
        </w:trPr>
        <w:tc>
          <w:tcPr>
            <w:tcW w:type="dxa" w:w="468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Descarga manual y auditoría</w:t>
            </w:r>
          </w:p>
        </w:tc>
        <w:tc>
          <w:tcPr>
            <w:tcW w:type="dxa" w:w="4680"/>
            <w:shd w:fill="F7F9FC"/>
            <w:vAlign w:val="top"/>
          </w:tcPr>
          <w:p>
            <w:pPr>
              <w:spacing w:after="0"/>
            </w:pPr>
            <w:r>
              <w:rPr>
                <w:rFonts w:ascii="Calibri" w:hAnsi="Calibri"/>
                <w:color w:val="13233A"/>
                <w:sz w:val="18"/>
              </w:rPr>
              <w:t>API pública de orquestación</w:t>
            </w:r>
          </w:p>
        </w:tc>
      </w:tr>
    </w:tbl>
    <w:p>
      <w:pPr>
        <w:spacing w:before="100" w:after="200"/>
        <w:ind w:left="173" w:right="173"/>
        <w:shd w:fill="EAF3FC"/>
        <w:pBdr>
          <w:left w:val="single" w:sz="18" w:space="1" w:color="1F8A70"/>
        </w:pBdr>
      </w:pPr>
      <w:r>
        <w:rPr>
          <w:b/>
          <w:color w:val="1F8A70"/>
        </w:rPr>
        <w:t xml:space="preserve">BUENA PRÁCTICA  </w:t>
      </w:r>
      <w:r>
        <w:rPr>
          <w:color w:val="13233A"/>
        </w:rPr>
        <w:t>El archivo de-identificado debe conservarse solo durante el tiempo necesario, con acceso restringido y una revisión de utilidad y riesgo antes de usarlo fuera del equipo autorizado.</w:t>
      </w:r>
    </w:p>
    <w:p>
      <w:pPr>
        <w:pStyle w:val="Heading2"/>
      </w:pPr>
      <w:r>
        <w:t>Principio de adopción</w:t>
      </w:r>
    </w:p>
    <w:p>
      <w:r>
        <w:t>Comenzar con un conjunto representativo y pequeño, validar Discovery y comparar el resultado con los criterios de prueba. Luego ampliar el volumen sin cambiar la política aprobada.</w:t>
      </w:r>
    </w:p>
    <w:p>
      <w:r>
        <w:br w:type="page"/>
      </w:r>
    </w:p>
    <w:p>
      <w:pPr>
        <w:spacing w:after="100"/>
      </w:pPr>
      <w:r>
        <w:rPr>
          <w:b/>
          <w:color w:val="1F8A70"/>
          <w:sz w:val="17"/>
        </w:rPr>
        <w:t>07  |  DOVATDM</w:t>
      </w:r>
    </w:p>
    <w:p>
      <w:pPr>
        <w:pStyle w:val="Title"/>
        <w:pBdr>
          <w:bottom w:val="single" w:sz="14" w:space="1" w:color="0B67D1"/>
        </w:pBdr>
      </w:pPr>
      <w:r>
        <w:t>Adopción y criterios de aceptación</w:t>
      </w:r>
    </w:p>
    <w:p>
      <w:pPr>
        <w:spacing w:after="280"/>
      </w:pPr>
      <w:r>
        <w:rPr>
          <w:color w:val="667085"/>
          <w:sz w:val="23"/>
        </w:rPr>
        <w:t>Una puesta en uso verificable para equipos de desarrollo, QA, datos y seguridad.</w:t>
      </w:r>
    </w:p>
    <w:p>
      <w:pPr>
        <w:pStyle w:val="Heading2"/>
      </w:pPr>
      <w:r>
        <w:t>Inicio rápido</w:t>
      </w:r>
    </w:p>
    <w:p>
      <w:pPr>
        <w:spacing w:after="80" w:line="300" w:lineRule="auto"/>
        <w:numPr>
          <w:ilvl w:val="0"/>
          <w:numId w:val="11"/>
        </w:numPr>
      </w:pPr>
      <w:r>
        <w:rPr>
          <w:b/>
        </w:rPr>
        <w:t xml:space="preserve">Ingresar. </w:t>
      </w:r>
      <w:r>
        <w:t>Autenticarse en la aplicación con un perfil autorizado.</w:t>
      </w:r>
    </w:p>
    <w:p>
      <w:pPr>
        <w:spacing w:after="80" w:line="300" w:lineRule="auto"/>
        <w:numPr>
          <w:ilvl w:val="0"/>
          <w:numId w:val="11"/>
        </w:numPr>
      </w:pPr>
      <w:r>
        <w:rPr>
          <w:b/>
        </w:rPr>
        <w:t xml:space="preserve">Seleccionar. </w:t>
      </w:r>
      <w:r>
        <w:t>Cargar un archivo compatible y elegir la política apropiada.</w:t>
      </w:r>
    </w:p>
    <w:p>
      <w:pPr>
        <w:spacing w:after="80" w:line="300" w:lineRule="auto"/>
        <w:numPr>
          <w:ilvl w:val="0"/>
          <w:numId w:val="11"/>
        </w:numPr>
      </w:pPr>
      <w:r>
        <w:rPr>
          <w:b/>
        </w:rPr>
        <w:t xml:space="preserve">Revisar. </w:t>
      </w:r>
      <w:r>
        <w:t>Confirmar los hallazgos de Discovery antes de ejecutar.</w:t>
      </w:r>
    </w:p>
    <w:p>
      <w:pPr>
        <w:spacing w:after="80" w:line="300" w:lineRule="auto"/>
        <w:numPr>
          <w:ilvl w:val="0"/>
          <w:numId w:val="11"/>
        </w:numPr>
      </w:pPr>
      <w:r>
        <w:rPr>
          <w:b/>
        </w:rPr>
        <w:t xml:space="preserve">Generar. </w:t>
      </w:r>
      <w:r>
        <w:t>Procesar el trabajo y descargar el resultado de-identificado.</w:t>
      </w:r>
    </w:p>
    <w:p>
      <w:pPr>
        <w:spacing w:after="80" w:line="300" w:lineRule="auto"/>
        <w:numPr>
          <w:ilvl w:val="0"/>
          <w:numId w:val="11"/>
        </w:numPr>
      </w:pPr>
      <w:r>
        <w:rPr>
          <w:b/>
        </w:rPr>
        <w:t xml:space="preserve">Auditar. </w:t>
      </w:r>
      <w:r>
        <w:t>Verificar el reporte, la política aplicada y los conteos de transformación.</w:t>
      </w:r>
    </w:p>
    <w:p>
      <w:pPr>
        <w:pStyle w:val="Heading2"/>
      </w:pPr>
      <w:r>
        <w:t>Checklist de aceptación</w:t>
      </w:r>
    </w:p>
    <w:p>
      <w:pPr>
        <w:pStyle w:val="ListBullet"/>
      </w:pPr>
      <w:r>
        <w:t>El acceso corresponde al rol asignado y las sesiones se cierran correctamente.</w:t>
      </w:r>
    </w:p>
    <w:p>
      <w:pPr>
        <w:pStyle w:val="ListBullet"/>
      </w:pPr>
      <w:r>
        <w:t>El archivo fuente no aparece en almacenamiento de aplicación ni en auditoría.</w:t>
      </w:r>
    </w:p>
    <w:p>
      <w:pPr>
        <w:pStyle w:val="ListBullet"/>
      </w:pPr>
      <w:r>
        <w:t>Los valores sensibles detectados no permanecen en el resultado.</w:t>
      </w:r>
    </w:p>
    <w:p>
      <w:pPr>
        <w:pStyle w:val="ListBullet"/>
      </w:pPr>
      <w:r>
        <w:t>Los valores deterministas se mantienen consistentes cuando corresponde.</w:t>
      </w:r>
    </w:p>
    <w:p>
      <w:pPr>
        <w:pStyle w:val="ListBullet"/>
      </w:pPr>
      <w:r>
        <w:t>El reporte y la descarga están disponibles para el trabajo autorizado.</w:t>
      </w:r>
    </w:p>
    <w:p>
      <w:pPr>
        <w:pStyle w:val="ListBullet"/>
      </w:pPr>
      <w:r>
        <w:t>La validación productiva y el respaldo cifrado terminan sin errores.</w:t>
      </w:r>
    </w:p>
    <w:p>
      <w:pPr>
        <w:spacing w:before="100" w:after="200"/>
        <w:ind w:left="173" w:right="173"/>
        <w:shd w:fill="F2F7F4"/>
        <w:pBdr>
          <w:left w:val="single" w:sz="18" w:space="1" w:color="1F8A70"/>
        </w:pBdr>
      </w:pPr>
      <w:r>
        <w:rPr>
          <w:b/>
          <w:color w:val="1F8A70"/>
        </w:rPr>
        <w:t xml:space="preserve">ESTADO DEL PRODUCTO  </w:t>
      </w:r>
      <w:r>
        <w:rPr>
          <w:color w:val="13233A"/>
        </w:rPr>
        <w:t>Operativo en producción. La validación automatizada cubre 12 pruebas del motor, almacenamiento cifrado, autenticación, CSRF, políticas, trabajos, reportes, descargas y cierre de sesión, además de un smoke test productivo.</w:t>
      </w:r>
    </w:p>
    <w:p>
      <w:pPr>
        <w:pStyle w:val="Heading2"/>
      </w:pPr>
      <w:r>
        <w:t>Acceso y soporte</w:t>
      </w:r>
    </w:p>
    <w:p>
      <w:r>
        <w:rPr>
          <w:b/>
        </w:rPr>
        <w:t xml:space="preserve">Producto: </w:t>
      </w:r>
      <w:hyperlink r:id="rId12">
        <w:r>
          <w:rPr>
            <w:color w:val="0B67D1"/>
            <w:u w:val="single"/>
          </w:rPr>
          <w:t>https://tdm.cloudata.pe</w:t>
        </w:r>
      </w:hyperlink>
    </w:p>
    <w:p>
      <w:r>
        <w:rPr>
          <w:b/>
        </w:rPr>
        <w:t xml:space="preserve">Soporte: </w:t>
      </w:r>
      <w:hyperlink r:id="rId13">
        <w:r>
          <w:rPr>
            <w:color w:val="0B67D1"/>
            <w:u w:val="single"/>
          </w:rPr>
          <w:t>help@cloudata.pe</w:t>
        </w:r>
      </w:hyperlink>
    </w:p>
    <w:p>
      <w:pPr>
        <w:spacing w:before="320" w:after="0"/>
        <w:pBdr>
          <w:top w:val="single" w:sz="8" w:space="1" w:color="D5DEE9"/>
        </w:pBdr>
      </w:pPr>
      <w:r>
        <w:rPr>
          <w:i/>
          <w:color w:val="667085"/>
          <w:sz w:val="17"/>
        </w:rPr>
        <w:t>Alcance basado en el release productivo 20260721-05 y el repositorio DovaTDM, verificados el 22 de julio de 2026.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color w:val="667085"/>
        <w:sz w:val="16"/>
      </w:rPr>
      <w:t xml:space="preserve">CLOUDATA  |  </w:t>
    </w:r>
    <w:r>
      <w:rPr>
        <w:rFonts w:ascii="Calibri" w:hAnsi="Calibri"/>
        <w:color w:val="667085"/>
        <w:sz w:val="16"/>
      </w:rPr>
      <w:t xml:space="preserve">PAGE </w:t>
    </w:r>
    <w:r>
      <w:rPr>
        <w:rFonts w:ascii="Calibri" w:hAnsi="Calibri"/>
        <w:color w:val="667085"/>
        <w:sz w:val="16"/>
      </w:rPr>
      <w:fldChar w:fldCharType="begin"/>
    </w:r>
    <w:r>
      <w:rPr>
        <w:rFonts w:ascii="Calibri" w:hAnsi="Calibri"/>
        <w:color w:val="667085"/>
        <w:sz w:val="16"/>
      </w:rPr>
      <w:instrText xml:space="preserve">PAGE</w:instrText>
    </w:r>
    <w:r>
      <w:rPr>
        <w:rFonts w:ascii="Calibri" w:hAnsi="Calibri"/>
        <w:color w:val="667085"/>
        <w:sz w:val="16"/>
      </w:rPr>
      <w:fldChar w:fldCharType="separate"/>
    </w:r>
    <w:r>
      <w:rPr>
        <w:rFonts w:ascii="Calibri" w:hAnsi="Calibri"/>
        <w:color w:val="667085"/>
        <w:sz w:val="16"/>
      </w:rPr>
      <w:t>1</w:t>
    </w:r>
    <w:r>
      <w:rPr>
        <w:rFonts w:ascii="Calibri" w:hAnsi="Calibri"/>
        <w:color w:val="667085"/>
        <w:sz w:val="16"/>
      </w:rP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0B67D1"/>
        <w:sz w:val="17"/>
      </w:rPr>
      <w:t>DovaTDM  |  PRODUCT EXPLORER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space"/>
      <w:pPr>
        <w:ind w:left="540" w:hanging="271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space"/>
      <w:pPr>
        <w:ind w:left="540" w:hanging="271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1323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B67D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B67D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3233A"/>
      <w:spacing w:val="5"/>
      <w:kern w:val="28"/>
      <w:sz w:val="6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Calibri" w:hAnsi="Calibri"/>
      <w:b w:val="0"/>
      <w:i/>
      <w:iCs/>
      <w:color w:val="667085"/>
      <w:spacing w:val="15"/>
      <w:sz w:val="3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color w:val="13233A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color w:val="13233A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tdm.cloudata.pe" TargetMode="External"/><Relationship Id="rId13" Type="http://schemas.openxmlformats.org/officeDocument/2006/relationships/hyperlink" Target="mailto:help@cloudata.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DovaTDM Product Explorer</dc:title>
  <dc:subject>Test Data Management and secure file de-identification</dc:subject>
  <dc:creator>Cloudata</dc:creator>
  <cp:keywords>DovaTDM, TDM, test data management, de-identification, Cloudata</cp:keywords>
  <dc:description>Product scope verified against the deployed DovaTDM release in July 2026.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